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июня 2012 г. N 17-1/10/1-248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РАЗЪЯСНЕНИИ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ПРАКТИКИ ПРИМЕНЕНИЯ СТАТЬИ 12 ФЕДЕРАЛЬНОГО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ЗАКОНА ОТ 25 ДЕКАБРЯ 2008 Г. N 273-ФЗ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ПРОТИВОДЕЙСТВИИ КОРРУПЦИИ"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</w:t>
      </w:r>
      <w:hyperlink w:anchor="Par22" w:history="1">
        <w:r>
          <w:rPr>
            <w:rFonts w:ascii="Calibri" w:hAnsi="Calibri" w:cs="Calibri"/>
            <w:color w:val="0000FF"/>
          </w:rPr>
          <w:t>разъяснения</w:t>
        </w:r>
      </w:hyperlink>
      <w:r>
        <w:rPr>
          <w:rFonts w:ascii="Calibri" w:hAnsi="Calibri" w:cs="Calibri"/>
        </w:rPr>
        <w:t xml:space="preserve"> практики применения </w:t>
      </w:r>
      <w:hyperlink r:id="rId5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</w:t>
      </w:r>
      <w:proofErr w:type="gramEnd"/>
      <w:r>
        <w:rPr>
          <w:rFonts w:ascii="Calibri" w:hAnsi="Calibri" w:cs="Calibri"/>
        </w:rPr>
        <w:t xml:space="preserve">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</w:t>
      </w:r>
      <w:proofErr w:type="gramStart"/>
      <w:r>
        <w:rPr>
          <w:rFonts w:ascii="Calibri" w:hAnsi="Calibri" w:cs="Calibri"/>
        </w:rPr>
        <w:t>интересов</w:t>
      </w:r>
      <w:proofErr w:type="gramEnd"/>
      <w:r>
        <w:rPr>
          <w:rFonts w:ascii="Calibri" w:hAnsi="Calibri" w:cs="Calibri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</w:t>
      </w:r>
      <w:proofErr w:type="gramStart"/>
      <w:r>
        <w:rPr>
          <w:rFonts w:ascii="Calibri" w:hAnsi="Calibri" w:cs="Calibri"/>
        </w:rPr>
        <w:t>государственным</w:t>
      </w:r>
      <w:proofErr w:type="gramEnd"/>
      <w:r>
        <w:rPr>
          <w:rFonts w:ascii="Calibri" w:hAnsi="Calibri" w:cs="Calibri"/>
        </w:rPr>
        <w:t xml:space="preserve"> органами.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Приложение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22"/>
      <w:bookmarkEnd w:id="3"/>
      <w:r>
        <w:rPr>
          <w:rFonts w:ascii="Calibri" w:hAnsi="Calibri" w:cs="Calibri"/>
        </w:rPr>
        <w:t>РАЗЪЯСНЕНИЯ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ПРАКТИКИ ПРИМЕНЕНИЯ СТАТЬИ 12 ФЕДЕРАЛЬНОГО ЗАКОНА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2008 Г. N 273-ФЗ "О ПРОТИВОДЕЙСТВИИ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КОРРУПЦИИ", СОДЕРЖАЩЕЙ ОГРАНИЧЕНИЯ, НАЛАГАЕМЫЕ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ГРАЖДАНИНА, ЗАМЕЩАВШЕГО ДОЛЖНОСТЬ </w:t>
      </w:r>
      <w:proofErr w:type="gramStart"/>
      <w:r>
        <w:rPr>
          <w:rFonts w:ascii="Calibri" w:hAnsi="Calibri" w:cs="Calibri"/>
        </w:rPr>
        <w:t>ГОСУДАРСТВЕННОЙ</w:t>
      </w:r>
      <w:proofErr w:type="gramEnd"/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ИЛИ МУНИЦИПАЛЬНОЙ СЛУЖБЫ, ПРИ ЗАКЛЮЧЕНИИ ИМ </w:t>
      </w:r>
      <w:proofErr w:type="gramStart"/>
      <w:r>
        <w:rPr>
          <w:rFonts w:ascii="Calibri" w:hAnsi="Calibri" w:cs="Calibri"/>
        </w:rPr>
        <w:t>ТРУДОВОГО</w:t>
      </w:r>
      <w:proofErr w:type="gramEnd"/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ГРАЖДАНСКО-ПРАВОВОГО ДОГОВОРА, В ТОМ ЧИСЛЕ СЛУЧАЕВ,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КОГДА ДАЧА СОГЛАСИЯ КОМИССИЕЙ ПО СОБЛЮДЕНИЮ ТРЕБОВАНИЙ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СЛУЖЕБНОМУ ПОВЕДЕНИЮ И УРЕГУЛИРОВАНИЮ КОНФЛИКТА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ИНТЕРЕСОВ БЫВШЕМУ ГОСУДАРСТВЕННОМУ СЛУЖАЩЕМУ НА ЗАМЕЩЕНИЕ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 ДОЛЖНОСТИ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КОММЕРЧЕСКОЙ ИЛИ НЕКОММЕРЧЕСКОЙ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НЕ ТРЕБУЕТСЯ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указанной статьи гражданин, замещавший должность государственной или </w:t>
      </w:r>
      <w:r>
        <w:rPr>
          <w:rFonts w:ascii="Calibri" w:hAnsi="Calibri" w:cs="Calibri"/>
        </w:rPr>
        <w:lastRenderedPageBreak/>
        <w:t>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>
        <w:rPr>
          <w:rFonts w:ascii="Calibri" w:hAnsi="Calibri" w:cs="Calibri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Круг лиц, на которых распространяется данное ограничение, установлен </w:t>
      </w:r>
      <w:hyperlink r:id="rId8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Указа Президента Российской Федерации от 21 июля 2010 г. N 925. </w:t>
      </w:r>
      <w:proofErr w:type="gramStart"/>
      <w:r>
        <w:rPr>
          <w:rFonts w:ascii="Calibri" w:hAnsi="Calibri" w:cs="Calibri"/>
        </w:rPr>
        <w:t xml:space="preserve">К ним относятся граждане, которые ранее замещали должность федеральной государственной службы, включенную в </w:t>
      </w:r>
      <w:hyperlink r:id="rId9" w:history="1">
        <w:r>
          <w:rPr>
            <w:rFonts w:ascii="Calibri" w:hAnsi="Calibri" w:cs="Calibri"/>
            <w:color w:val="0000FF"/>
          </w:rPr>
          <w:t>раздел I</w:t>
        </w:r>
      </w:hyperlink>
      <w:r>
        <w:rPr>
          <w:rFonts w:ascii="Calibri" w:hAnsi="Calibri" w:cs="Calibri"/>
        </w:rPr>
        <w:t xml:space="preserve"> или </w:t>
      </w:r>
      <w:hyperlink r:id="rId10" w:history="1">
        <w:r>
          <w:rPr>
            <w:rFonts w:ascii="Calibri" w:hAnsi="Calibri" w:cs="Calibri"/>
            <w:color w:val="0000FF"/>
          </w:rPr>
          <w:t>раздел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1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перечня, утвержденного Указом Президента Российской Федерации от 18 мая 2009 г. N 557.</w:t>
      </w:r>
      <w:proofErr w:type="gramEnd"/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включение должности государственной службы в соответствующий перечень должностей, предусмотренный </w:t>
      </w:r>
      <w:hyperlink r:id="rId12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Указа Президента Российской Федерации от 21 июля 2010 г. N 925;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Письменное обращение гражданина о даче согласия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частью 1.1 статьи 12</w:t>
        </w:r>
      </w:hyperlink>
      <w:r>
        <w:rPr>
          <w:rFonts w:ascii="Calibri" w:hAnsi="Calibri" w:cs="Calibri"/>
        </w:rPr>
        <w:t xml:space="preserve"> Федерального закона комиссия обязана рассмотреть в течение семи дней со дня поступления указанного обращения в порядке, установленном </w:t>
      </w:r>
      <w:hyperlink r:id="rId1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июня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Указ), и о</w:t>
      </w:r>
      <w:proofErr w:type="gramEnd"/>
      <w:r>
        <w:rPr>
          <w:rFonts w:ascii="Calibri" w:hAnsi="Calibri" w:cs="Calibri"/>
        </w:rPr>
        <w:t xml:space="preserve"> принятом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Заседание комиссии по указанному вопросу проводится на основании </w:t>
      </w:r>
      <w:hyperlink r:id="rId15" w:history="1">
        <w:r>
          <w:rPr>
            <w:rFonts w:ascii="Calibri" w:hAnsi="Calibri" w:cs="Calibri"/>
            <w:color w:val="0000FF"/>
          </w:rPr>
          <w:t>абзаца второго подпункта б) пункта 16</w:t>
        </w:r>
      </w:hyperlink>
      <w:r>
        <w:rPr>
          <w:rFonts w:ascii="Calibri" w:hAnsi="Calibri"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пунктом 24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Положения принимается одно из следующих решений: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Необходимо учитывать, что в соответствии с </w:t>
      </w:r>
      <w:hyperlink r:id="rId17" w:history="1">
        <w:r>
          <w:rPr>
            <w:rFonts w:ascii="Calibri" w:hAnsi="Calibri" w:cs="Calibri"/>
            <w:color w:val="0000FF"/>
          </w:rPr>
          <w:t>частью 2 статьи 12</w:t>
        </w:r>
      </w:hyperlink>
      <w:r>
        <w:rPr>
          <w:rFonts w:ascii="Calibri" w:hAnsi="Calibri" w:cs="Calibri"/>
        </w:rPr>
        <w:t xml:space="preserve">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сообщать работодателю</w:t>
      </w:r>
      <w:proofErr w:type="gramEnd"/>
      <w:r>
        <w:rPr>
          <w:rFonts w:ascii="Calibri" w:hAnsi="Calibri" w:cs="Calibri"/>
        </w:rPr>
        <w:t xml:space="preserve"> сведения о последнем месте своей службы. </w:t>
      </w:r>
      <w:proofErr w:type="gramStart"/>
      <w:r>
        <w:rPr>
          <w:rFonts w:ascii="Calibri" w:hAnsi="Calibri" w:cs="Calibri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>
        <w:rPr>
          <w:rFonts w:ascii="Calibri" w:hAnsi="Calibri" w:cs="Calibri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>
        <w:rPr>
          <w:rFonts w:ascii="Calibri" w:hAnsi="Calibri" w:cs="Calibri"/>
        </w:rPr>
        <w:t xml:space="preserve">При информировании работодателя гражданину рекомендуется одновременно сообщить об ограничениях, налагаемых на него </w:t>
      </w:r>
      <w:hyperlink r:id="rId19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закона, об обязанности работодателя во исполнение </w:t>
      </w:r>
      <w:hyperlink r:id="rId20" w:history="1">
        <w:r>
          <w:rPr>
            <w:rFonts w:ascii="Calibri" w:hAnsi="Calibri" w:cs="Calibri"/>
            <w:color w:val="0000FF"/>
          </w:rPr>
          <w:t>части 4 статьи 12</w:t>
        </w:r>
      </w:hyperlink>
      <w:r>
        <w:rPr>
          <w:rFonts w:ascii="Calibri" w:hAnsi="Calibri" w:cs="Calibri"/>
        </w:rPr>
        <w:t xml:space="preserve">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700, а также о</w:t>
      </w:r>
      <w:proofErr w:type="gramEnd"/>
      <w:r>
        <w:rPr>
          <w:rFonts w:ascii="Calibri" w:hAnsi="Calibri" w:cs="Calibri"/>
        </w:rPr>
        <w:t xml:space="preserve"> том, что неисполнение работодателем данной обязанности в соответствии с </w:t>
      </w:r>
      <w:hyperlink r:id="rId22" w:history="1">
        <w:r>
          <w:rPr>
            <w:rFonts w:ascii="Calibri" w:hAnsi="Calibri" w:cs="Calibri"/>
            <w:color w:val="0000FF"/>
          </w:rPr>
          <w:t>частью 5 статьи 12</w:t>
        </w:r>
      </w:hyperlink>
      <w:r>
        <w:rPr>
          <w:rFonts w:ascii="Calibri" w:hAnsi="Calibri" w:cs="Calibri"/>
        </w:rPr>
        <w:t xml:space="preserve"> Федерального закона является правонарушением и влечет ответственность в соответствии с </w:t>
      </w:r>
      <w:hyperlink r:id="rId2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</w:t>
      </w:r>
      <w:hyperlink r:id="rId24" w:history="1">
        <w:r>
          <w:rPr>
            <w:rFonts w:ascii="Calibri" w:hAnsi="Calibri" w:cs="Calibri"/>
            <w:color w:val="0000FF"/>
          </w:rPr>
          <w:t>частью 3 статьи 12</w:t>
        </w:r>
      </w:hyperlink>
      <w:r>
        <w:rPr>
          <w:rFonts w:ascii="Calibri" w:hAnsi="Calibri" w:cs="Calibri"/>
        </w:rP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>
        <w:rPr>
          <w:rFonts w:ascii="Calibri" w:hAnsi="Calibri" w:cs="Calibri"/>
        </w:rPr>
        <w:t xml:space="preserve"> организации отдельных функций государственного управления.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r:id="rId25" w:history="1">
        <w:r>
          <w:rPr>
            <w:rFonts w:ascii="Calibri" w:hAnsi="Calibri" w:cs="Calibri"/>
            <w:color w:val="0000FF"/>
          </w:rPr>
          <w:t>пункте 4 статьи 1</w:t>
        </w:r>
      </w:hyperlink>
      <w:r>
        <w:rPr>
          <w:rFonts w:ascii="Calibri" w:hAnsi="Calibri" w:cs="Calibri"/>
        </w:rP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>
        <w:rPr>
          <w:rFonts w:ascii="Calibri" w:hAnsi="Calibri" w:cs="Calibri"/>
        </w:rPr>
        <w:t xml:space="preserve"> готовить проекты таких решений.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Случаями, когда дача согласия комиссией не требуется, являются следующие ситуации: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переходит на работу по трудовому договору в другой государственный орган;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proofErr w:type="gramStart"/>
        <w:r>
          <w:rPr>
            <w:rFonts w:ascii="Calibri" w:hAnsi="Calibri" w:cs="Calibri"/>
            <w:color w:val="0000FF"/>
          </w:rPr>
          <w:t>Частью 6 статьи 12</w:t>
        </w:r>
      </w:hyperlink>
      <w:r>
        <w:rPr>
          <w:rFonts w:ascii="Calibri" w:hAnsi="Calibri" w:cs="Calibri"/>
        </w:rPr>
        <w:t xml:space="preserve">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>
        <w:rPr>
          <w:rFonts w:ascii="Calibri" w:hAnsi="Calibri" w:cs="Calibri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372" w:rsidRDefault="006C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372" w:rsidRDefault="006C437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019B1" w:rsidRDefault="00B019B1"/>
    <w:sectPr w:rsidR="00B019B1" w:rsidSect="0068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72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4372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A5881F6415D86E2C61A059199D5C54E8EAA825B0BD38AB6359746DC8A4946B8EFEE31E86041135B7N0I" TargetMode="External"/><Relationship Id="rId13" Type="http://schemas.openxmlformats.org/officeDocument/2006/relationships/hyperlink" Target="consultantplus://offline/ref=B4A5881F6415D86E2C61A059199D5C54E8EDA827BCBD38AB6359746DC8A4946B8EFEE31CB8N6I" TargetMode="External"/><Relationship Id="rId18" Type="http://schemas.openxmlformats.org/officeDocument/2006/relationships/hyperlink" Target="consultantplus://offline/ref=B4A5881F6415D86E2C61A059199D5C54E8EDA827BCBD38AB6359746DC8A4946B8EFEE31DB8NFI" TargetMode="External"/><Relationship Id="rId26" Type="http://schemas.openxmlformats.org/officeDocument/2006/relationships/hyperlink" Target="consultantplus://offline/ref=B4A5881F6415D86E2C61A059199D5C54E8EDA827BCBD38AB6359746DC8BAN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A5881F6415D86E2C61A059199D5C54E8EAAE27B0BE38AB6359746DC8BAN4I" TargetMode="External"/><Relationship Id="rId7" Type="http://schemas.openxmlformats.org/officeDocument/2006/relationships/hyperlink" Target="consultantplus://offline/ref=B4A5881F6415D86E2C61A059199D5C54E8EDA827BCBD38AB6359746DC8A4946B8EFEE31DB8NFI" TargetMode="External"/><Relationship Id="rId12" Type="http://schemas.openxmlformats.org/officeDocument/2006/relationships/hyperlink" Target="consultantplus://offline/ref=B4A5881F6415D86E2C61A059199D5C54E8EAA825B0BD38AB6359746DC8A4946B8EFEE31E86041135B7N0I" TargetMode="External"/><Relationship Id="rId17" Type="http://schemas.openxmlformats.org/officeDocument/2006/relationships/hyperlink" Target="consultantplus://offline/ref=B4A5881F6415D86E2C61A059199D5C54E8EDA827BCBD38AB6359746DC8A4946B8EFEE31CB8N7I" TargetMode="External"/><Relationship Id="rId25" Type="http://schemas.openxmlformats.org/officeDocument/2006/relationships/hyperlink" Target="consultantplus://offline/ref=B4A5881F6415D86E2C61A059199D5C54E8EDA827BCBD38AB6359746DC8A4946B8EFEE3B1N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A5881F6415D86E2C61A059199D5C54E8EDAC26B0B638AB6359746DC8A4946B8EFEE31E86041035B7N5I" TargetMode="External"/><Relationship Id="rId20" Type="http://schemas.openxmlformats.org/officeDocument/2006/relationships/hyperlink" Target="consultantplus://offline/ref=B4A5881F6415D86E2C61A059199D5C54E8EDA827BCBD38AB6359746DC8A4946B8EFEE31CB8N5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A5881F6415D86E2C61A059199D5C54E8EDA827BCBD38AB6359746DC8A4946B8EFEE31DB8NEI" TargetMode="External"/><Relationship Id="rId11" Type="http://schemas.openxmlformats.org/officeDocument/2006/relationships/hyperlink" Target="consultantplus://offline/ref=B4A5881F6415D86E2C61A059199D5C54E8EDAC27B9BE38AB6359746DC8A4946B8EFEE31E86041033B7NFI" TargetMode="External"/><Relationship Id="rId24" Type="http://schemas.openxmlformats.org/officeDocument/2006/relationships/hyperlink" Target="consultantplus://offline/ref=B4A5881F6415D86E2C61A059199D5C54E8EDA827BCBD38AB6359746DC8A4946B8EFEE31CB8N4I" TargetMode="External"/><Relationship Id="rId5" Type="http://schemas.openxmlformats.org/officeDocument/2006/relationships/hyperlink" Target="consultantplus://offline/ref=B4A5881F6415D86E2C61A059199D5C54E8EDA827BCBD38AB6359746DC8A4946B8EFEE31DB8NEI" TargetMode="External"/><Relationship Id="rId15" Type="http://schemas.openxmlformats.org/officeDocument/2006/relationships/hyperlink" Target="consultantplus://offline/ref=B4A5881F6415D86E2C61A059199D5C54E8EDAC26B0B638AB6359746DC8A4946B8EFEE31E8604113DB7N2I" TargetMode="External"/><Relationship Id="rId23" Type="http://schemas.openxmlformats.org/officeDocument/2006/relationships/hyperlink" Target="consultantplus://offline/ref=B4A5881F6415D86E2C61A059199D5C54E8EDAE2AB9BE38AB6359746DC8A4946B8EFEE31C860CB1N1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4A5881F6415D86E2C61A059199D5C54E8EDAC27B9BE38AB6359746DC8A4946B8EFEE31E86041137B7N6I" TargetMode="External"/><Relationship Id="rId19" Type="http://schemas.openxmlformats.org/officeDocument/2006/relationships/hyperlink" Target="consultantplus://offline/ref=B4A5881F6415D86E2C61A059199D5C54E8EDA827BCBD38AB6359746DC8A4946B8EFEE31DB8N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A5881F6415D86E2C61A059199D5C54E8EDAC27B9BE38AB6359746DC8A4946B8EFEE31E86041134B7N0I" TargetMode="External"/><Relationship Id="rId14" Type="http://schemas.openxmlformats.org/officeDocument/2006/relationships/hyperlink" Target="consultantplus://offline/ref=B4A5881F6415D86E2C61A059199D5C54E8EDAC26B0B638AB6359746DC8BAN4I" TargetMode="External"/><Relationship Id="rId22" Type="http://schemas.openxmlformats.org/officeDocument/2006/relationships/hyperlink" Target="consultantplus://offline/ref=B4A5881F6415D86E2C61A059199D5C54E8EDA827BCBD38AB6359746DC8A4946B8EFEE31E86041035B7NEI" TargetMode="External"/><Relationship Id="rId27" Type="http://schemas.openxmlformats.org/officeDocument/2006/relationships/hyperlink" Target="consultantplus://offline/ref=B4A5881F6415D86E2C61A059199D5C54E8EDA827BCBD38AB6359746DC8A4946B8EFEE31CB8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2272</Words>
  <Characters>12954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1</cp:revision>
  <dcterms:created xsi:type="dcterms:W3CDTF">2015-05-12T08:13:00Z</dcterms:created>
  <dcterms:modified xsi:type="dcterms:W3CDTF">2015-05-12T08:13:00Z</dcterms:modified>
</cp:coreProperties>
</file>